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4D176">
      <w:pPr>
        <w:keepNext w:val="0"/>
        <w:keepLines w:val="0"/>
        <w:pageBreakBefore w:val="0"/>
        <w:widowControl w:val="0"/>
        <w:kinsoku/>
        <w:wordWrap/>
        <w:overflowPunct/>
        <w:topLinePunct w:val="0"/>
        <w:bidi w:val="0"/>
        <w:spacing w:line="570" w:lineRule="exact"/>
        <w:jc w:val="center"/>
        <w:rPr>
          <w:rFonts w:hint="eastAsia" w:ascii="方正小标宋简体" w:hAnsi="方正小标宋简体" w:eastAsia="方正小标宋简体" w:cs="方正小标宋简体"/>
          <w:w w:val="90"/>
          <w:sz w:val="32"/>
          <w:szCs w:val="32"/>
        </w:rPr>
      </w:pPr>
      <w:bookmarkStart w:id="0" w:name="_GoBack"/>
      <w:r>
        <w:rPr>
          <w:rFonts w:hint="eastAsia" w:ascii="方正小标宋简体" w:hAnsi="方正小标宋简体" w:eastAsia="方正小标宋简体" w:cs="方正小标宋简体"/>
          <w:w w:val="90"/>
          <w:sz w:val="32"/>
          <w:szCs w:val="32"/>
          <w:lang w:val="en-US" w:eastAsia="zh-CN"/>
        </w:rPr>
        <w:t>金烨钢铁集团有限公司15MW余气综合利用发电</w:t>
      </w:r>
      <w:r>
        <w:rPr>
          <w:rFonts w:hint="eastAsia" w:ascii="方正小标宋简体" w:hAnsi="方正小标宋简体" w:eastAsia="方正小标宋简体" w:cs="方正小标宋简体"/>
          <w:w w:val="90"/>
          <w:sz w:val="32"/>
          <w:szCs w:val="32"/>
        </w:rPr>
        <w:t>项目</w:t>
      </w:r>
    </w:p>
    <w:p w14:paraId="700C671F">
      <w:pPr>
        <w:keepNext w:val="0"/>
        <w:keepLines w:val="0"/>
        <w:pageBreakBefore w:val="0"/>
        <w:widowControl w:val="0"/>
        <w:kinsoku/>
        <w:wordWrap/>
        <w:overflowPunct/>
        <w:topLinePunct w:val="0"/>
        <w:bidi w:val="0"/>
        <w:spacing w:line="570" w:lineRule="exact"/>
        <w:jc w:val="cente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w w:val="90"/>
          <w:sz w:val="32"/>
          <w:szCs w:val="32"/>
          <w:lang w:val="en-US" w:eastAsia="zh-CN"/>
        </w:rPr>
        <w:t>环境影响报告表</w:t>
      </w:r>
      <w:r>
        <w:rPr>
          <w:rFonts w:hint="eastAsia" w:ascii="方正小标宋简体" w:hAnsi="方正小标宋简体" w:eastAsia="方正小标宋简体" w:cs="方正小标宋简体"/>
          <w:w w:val="90"/>
          <w:sz w:val="32"/>
          <w:szCs w:val="32"/>
        </w:rPr>
        <w:t>拟批复意见</w:t>
      </w:r>
    </w:p>
    <w:bookmarkEnd w:id="0"/>
    <w:tbl>
      <w:tblPr>
        <w:tblStyle w:val="6"/>
        <w:tblW w:w="494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610"/>
        <w:gridCol w:w="537"/>
        <w:gridCol w:w="486"/>
        <w:gridCol w:w="526"/>
        <w:gridCol w:w="1953"/>
        <w:gridCol w:w="3634"/>
      </w:tblGrid>
      <w:tr w14:paraId="2D27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3" w:hRule="atLeast"/>
        </w:trPr>
        <w:tc>
          <w:tcPr>
            <w:tcW w:w="275" w:type="pct"/>
            <w:vAlign w:val="center"/>
          </w:tcPr>
          <w:p w14:paraId="680C62A5">
            <w:pPr>
              <w:keepNext w:val="0"/>
              <w:keepLines w:val="0"/>
              <w:pageBreakBefore w:val="0"/>
              <w:widowControl w:val="0"/>
              <w:kinsoku/>
              <w:wordWrap/>
              <w:overflowPunct/>
              <w:topLinePunct w:val="0"/>
              <w:bidi w:val="0"/>
              <w:spacing w:line="350" w:lineRule="exact"/>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序号</w:t>
            </w:r>
          </w:p>
        </w:tc>
        <w:tc>
          <w:tcPr>
            <w:tcW w:w="372" w:type="pct"/>
            <w:vAlign w:val="center"/>
          </w:tcPr>
          <w:p w14:paraId="3E314BC1">
            <w:pPr>
              <w:keepNext w:val="0"/>
              <w:keepLines w:val="0"/>
              <w:pageBreakBefore w:val="0"/>
              <w:widowControl w:val="0"/>
              <w:kinsoku/>
              <w:wordWrap/>
              <w:overflowPunct/>
              <w:topLinePunct w:val="0"/>
              <w:bidi w:val="0"/>
              <w:spacing w:line="350" w:lineRule="exact"/>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项目名称</w:t>
            </w:r>
          </w:p>
        </w:tc>
        <w:tc>
          <w:tcPr>
            <w:tcW w:w="327" w:type="pct"/>
            <w:vAlign w:val="center"/>
          </w:tcPr>
          <w:p w14:paraId="0433EF9A">
            <w:pPr>
              <w:keepNext w:val="0"/>
              <w:keepLines w:val="0"/>
              <w:pageBreakBefore w:val="0"/>
              <w:widowControl w:val="0"/>
              <w:kinsoku/>
              <w:wordWrap/>
              <w:overflowPunct/>
              <w:topLinePunct w:val="0"/>
              <w:bidi w:val="0"/>
              <w:spacing w:line="350" w:lineRule="exact"/>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建设单位</w:t>
            </w:r>
          </w:p>
        </w:tc>
        <w:tc>
          <w:tcPr>
            <w:tcW w:w="296" w:type="pct"/>
            <w:vAlign w:val="center"/>
          </w:tcPr>
          <w:p w14:paraId="577B9B2B">
            <w:pPr>
              <w:keepNext w:val="0"/>
              <w:keepLines w:val="0"/>
              <w:pageBreakBefore w:val="0"/>
              <w:widowControl w:val="0"/>
              <w:kinsoku/>
              <w:wordWrap/>
              <w:overflowPunct/>
              <w:topLinePunct w:val="0"/>
              <w:bidi w:val="0"/>
              <w:spacing w:line="350" w:lineRule="exact"/>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建设地点</w:t>
            </w:r>
          </w:p>
        </w:tc>
        <w:tc>
          <w:tcPr>
            <w:tcW w:w="321" w:type="pct"/>
            <w:vAlign w:val="center"/>
          </w:tcPr>
          <w:p w14:paraId="3BFCB19D">
            <w:pPr>
              <w:keepNext w:val="0"/>
              <w:keepLines w:val="0"/>
              <w:pageBreakBefore w:val="0"/>
              <w:widowControl w:val="0"/>
              <w:kinsoku/>
              <w:wordWrap/>
              <w:overflowPunct/>
              <w:topLinePunct w:val="0"/>
              <w:bidi w:val="0"/>
              <w:spacing w:line="350" w:lineRule="exact"/>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环境影响评价机构</w:t>
            </w:r>
          </w:p>
        </w:tc>
        <w:tc>
          <w:tcPr>
            <w:tcW w:w="1190" w:type="pct"/>
            <w:vAlign w:val="center"/>
          </w:tcPr>
          <w:p w14:paraId="6836AA93">
            <w:pPr>
              <w:keepNext w:val="0"/>
              <w:keepLines w:val="0"/>
              <w:pageBreakBefore w:val="0"/>
              <w:widowControl w:val="0"/>
              <w:kinsoku/>
              <w:wordWrap/>
              <w:overflowPunct/>
              <w:topLinePunct w:val="0"/>
              <w:bidi w:val="0"/>
              <w:spacing w:line="350" w:lineRule="exact"/>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建设概况</w:t>
            </w:r>
          </w:p>
        </w:tc>
        <w:tc>
          <w:tcPr>
            <w:tcW w:w="2216" w:type="pct"/>
            <w:vAlign w:val="center"/>
          </w:tcPr>
          <w:p w14:paraId="143AC1BD">
            <w:pPr>
              <w:keepNext w:val="0"/>
              <w:keepLines w:val="0"/>
              <w:pageBreakBefore w:val="0"/>
              <w:widowControl w:val="0"/>
              <w:kinsoku/>
              <w:wordWrap/>
              <w:overflowPunct/>
              <w:topLinePunct w:val="0"/>
              <w:bidi w:val="0"/>
              <w:spacing w:line="350" w:lineRule="exact"/>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shd w:val="clear" w:color="auto" w:fill="FFFFFF"/>
                <w14:textFill>
                  <w14:solidFill>
                    <w14:schemeClr w14:val="tx1"/>
                  </w14:solidFill>
                </w14:textFill>
              </w:rPr>
              <w:t>主要环境影响及预防或者减轻环境影响的对策和措施</w:t>
            </w:r>
          </w:p>
        </w:tc>
      </w:tr>
      <w:tr w14:paraId="2248E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 w:type="pct"/>
          </w:tcPr>
          <w:p w14:paraId="5597D80D">
            <w:pPr>
              <w:keepNext w:val="0"/>
              <w:keepLines w:val="0"/>
              <w:pageBreakBefore w:val="0"/>
              <w:widowControl w:val="0"/>
              <w:kinsoku/>
              <w:wordWrap/>
              <w:overflowPunct/>
              <w:topLinePunct w:val="0"/>
              <w:bidi w:val="0"/>
              <w:spacing w:line="350" w:lineRule="exac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1</w:t>
            </w:r>
          </w:p>
        </w:tc>
        <w:tc>
          <w:tcPr>
            <w:tcW w:w="372" w:type="pct"/>
          </w:tcPr>
          <w:p w14:paraId="3D485E56">
            <w:pPr>
              <w:keepNext w:val="0"/>
              <w:keepLines w:val="0"/>
              <w:pageBreakBefore w:val="0"/>
              <w:widowControl w:val="0"/>
              <w:kinsoku/>
              <w:wordWrap/>
              <w:overflowPunct/>
              <w:topLinePunct w:val="0"/>
              <w:bidi w:val="0"/>
              <w:spacing w:line="35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auto"/>
                <w:sz w:val="24"/>
                <w:szCs w:val="24"/>
                <w:highlight w:val="none"/>
                <w:lang w:eastAsia="zh-CN"/>
              </w:rPr>
              <w:t>金烨钢铁集团有限公司15MW余气综合利用发电项目</w:t>
            </w:r>
          </w:p>
        </w:tc>
        <w:tc>
          <w:tcPr>
            <w:tcW w:w="327" w:type="pct"/>
          </w:tcPr>
          <w:p w14:paraId="1C57ED80">
            <w:pPr>
              <w:keepNext w:val="0"/>
              <w:keepLines w:val="0"/>
              <w:pageBreakBefore w:val="0"/>
              <w:widowControl w:val="0"/>
              <w:kinsoku/>
              <w:wordWrap/>
              <w:overflowPunct/>
              <w:topLinePunct w:val="0"/>
              <w:bidi w:val="0"/>
              <w:spacing w:line="350" w:lineRule="exact"/>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金烨钢铁集团有限公司</w:t>
            </w:r>
          </w:p>
        </w:tc>
        <w:tc>
          <w:tcPr>
            <w:tcW w:w="296" w:type="pct"/>
          </w:tcPr>
          <w:p w14:paraId="743EFC52">
            <w:pPr>
              <w:keepNext w:val="0"/>
              <w:keepLines w:val="0"/>
              <w:pageBreakBefore w:val="0"/>
              <w:widowControl w:val="0"/>
              <w:kinsoku/>
              <w:wordWrap/>
              <w:overflowPunct/>
              <w:topLinePunct w:val="0"/>
              <w:bidi w:val="0"/>
              <w:spacing w:line="35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auto"/>
                <w:sz w:val="24"/>
                <w:szCs w:val="24"/>
                <w:highlight w:val="none"/>
                <w:lang w:val="en-US" w:eastAsia="zh-CN"/>
              </w:rPr>
              <w:t>山西省壶关县金烨钢铁集团有限公司钢铁冶炼生产厂区内</w:t>
            </w:r>
          </w:p>
        </w:tc>
        <w:tc>
          <w:tcPr>
            <w:tcW w:w="321" w:type="pct"/>
          </w:tcPr>
          <w:p w14:paraId="2F62D82A">
            <w:pPr>
              <w:keepNext w:val="0"/>
              <w:keepLines w:val="0"/>
              <w:pageBreakBefore w:val="0"/>
              <w:widowControl w:val="0"/>
              <w:kinsoku/>
              <w:wordWrap/>
              <w:overflowPunct/>
              <w:topLinePunct w:val="0"/>
              <w:bidi w:val="0"/>
              <w:spacing w:line="35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山西</w:t>
            </w:r>
            <w:r>
              <w:rPr>
                <w:rFonts w:hint="eastAsia" w:ascii="仿宋" w:hAnsi="仿宋" w:eastAsia="仿宋" w:cs="仿宋"/>
                <w:color w:val="000000" w:themeColor="text1"/>
                <w:sz w:val="24"/>
                <w:szCs w:val="24"/>
                <w:lang w:val="en-US" w:eastAsia="zh-CN"/>
                <w14:textFill>
                  <w14:solidFill>
                    <w14:schemeClr w14:val="tx1"/>
                  </w14:solidFill>
                </w14:textFill>
              </w:rPr>
              <w:t>方正工程设计</w:t>
            </w:r>
            <w:r>
              <w:rPr>
                <w:rFonts w:hint="eastAsia" w:ascii="仿宋" w:hAnsi="仿宋" w:eastAsia="仿宋" w:cs="仿宋"/>
                <w:color w:val="000000" w:themeColor="text1"/>
                <w:sz w:val="24"/>
                <w:szCs w:val="24"/>
                <w14:textFill>
                  <w14:solidFill>
                    <w14:schemeClr w14:val="tx1"/>
                  </w14:solidFill>
                </w14:textFill>
              </w:rPr>
              <w:t>有限公司</w:t>
            </w:r>
          </w:p>
        </w:tc>
        <w:tc>
          <w:tcPr>
            <w:tcW w:w="1190" w:type="pct"/>
          </w:tcPr>
          <w:p w14:paraId="7E0B9F31">
            <w:pPr>
              <w:keepNext w:val="0"/>
              <w:keepLines w:val="0"/>
              <w:pageBreakBefore w:val="0"/>
              <w:widowControl w:val="0"/>
              <w:kinsoku/>
              <w:wordWrap/>
              <w:overflowPunct/>
              <w:topLinePunct w:val="0"/>
              <w:bidi w:val="0"/>
              <w:spacing w:line="35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本项目新建综合利用回收煤气15MW高温高压煤气发电项目，依托企业钢铁生产富余高炉煤气，采用国内先进成熟的高温高压煤气燃烧发电工艺，实现富余煤气全回收、高效利用。规划占地面积4000m</w:t>
            </w:r>
            <w:r>
              <w:rPr>
                <w:rFonts w:hint="eastAsia" w:ascii="仿宋" w:hAnsi="仿宋" w:eastAsia="仿宋" w:cs="仿宋"/>
                <w:color w:val="000000" w:themeColor="text1"/>
                <w:sz w:val="24"/>
                <w:szCs w:val="24"/>
                <w:vertAlign w:val="superscript"/>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(6亩利用厂区内部空地)，建设1×60t/h高温高压煤气锅炉+1×15MW高温高压凝汽式汽轮机+1×18MW发电机及其配套辅助设施。设计年发电量为12000×104kWh，年供电量为11450×104KWh。</w:t>
            </w:r>
          </w:p>
        </w:tc>
        <w:tc>
          <w:tcPr>
            <w:tcW w:w="2216" w:type="pct"/>
          </w:tcPr>
          <w:p w14:paraId="3639A505">
            <w:pPr>
              <w:keepNext w:val="0"/>
              <w:keepLines w:val="0"/>
              <w:pageBreakBefore w:val="0"/>
              <w:widowControl w:val="0"/>
              <w:kinsoku/>
              <w:wordWrap/>
              <w:overflowPunct/>
              <w:topLinePunct w:val="0"/>
              <w:bidi w:val="0"/>
              <w:spacing w:line="350" w:lineRule="exact"/>
              <w:ind w:firstLine="400" w:firstLineChars="200"/>
              <w:rPr>
                <w:rFonts w:hint="eastAsia" w:ascii="仿宋_GB2312" w:hAnsi="仿宋_GB2312" w:eastAsia="仿宋_GB2312" w:cs="仿宋_GB2312"/>
                <w:sz w:val="20"/>
                <w:szCs w:val="21"/>
                <w:lang w:val="en-US" w:eastAsia="zh-CN"/>
              </w:rPr>
            </w:pPr>
            <w:r>
              <w:rPr>
                <w:rFonts w:hint="eastAsia" w:ascii="仿宋_GB2312" w:hAnsi="仿宋_GB2312" w:eastAsia="仿宋_GB2312" w:cs="仿宋_GB2312"/>
                <w:sz w:val="20"/>
                <w:szCs w:val="21"/>
                <w:lang w:val="en-US" w:eastAsia="zh-CN"/>
              </w:rPr>
              <w:t>一、废气污染源及防治措施</w:t>
            </w:r>
          </w:p>
          <w:p w14:paraId="7C96F75A">
            <w:pPr>
              <w:keepNext w:val="0"/>
              <w:keepLines w:val="0"/>
              <w:pageBreakBefore w:val="0"/>
              <w:widowControl w:val="0"/>
              <w:kinsoku/>
              <w:wordWrap/>
              <w:overflowPunct/>
              <w:topLinePunct w:val="0"/>
              <w:bidi w:val="0"/>
              <w:spacing w:line="350" w:lineRule="exact"/>
              <w:ind w:firstLine="400" w:firstLineChars="200"/>
              <w:rPr>
                <w:rFonts w:hint="eastAsia" w:ascii="仿宋_GB2312" w:hAnsi="仿宋_GB2312" w:eastAsia="仿宋_GB2312" w:cs="仿宋_GB2312"/>
                <w:sz w:val="20"/>
                <w:szCs w:val="21"/>
                <w:lang w:val="en-US" w:eastAsia="zh-CN"/>
              </w:rPr>
            </w:pPr>
            <w:r>
              <w:rPr>
                <w:rFonts w:hint="eastAsia" w:ascii="仿宋_GB2312" w:hAnsi="仿宋_GB2312" w:eastAsia="仿宋_GB2312" w:cs="仿宋_GB2312"/>
                <w:sz w:val="20"/>
                <w:szCs w:val="21"/>
                <w:lang w:val="en-US" w:eastAsia="zh-CN"/>
              </w:rPr>
              <w:t>(1)本项目安装有一台60t/h燃气锅炉，燃气锅炉废气采用1套“低氮燃烧器+钙基干法脱硫+布袋除尘器”处理后通过1根50m高排气筒排放。颗粒物、SO</w:t>
            </w:r>
            <w:r>
              <w:rPr>
                <w:rFonts w:hint="eastAsia" w:ascii="仿宋_GB2312" w:hAnsi="仿宋_GB2312" w:eastAsia="仿宋_GB2312" w:cs="仿宋_GB2312"/>
                <w:sz w:val="20"/>
                <w:szCs w:val="21"/>
                <w:vertAlign w:val="subscript"/>
                <w:lang w:val="en-US" w:eastAsia="zh-CN"/>
              </w:rPr>
              <w:t>2</w:t>
            </w:r>
            <w:r>
              <w:rPr>
                <w:rFonts w:hint="eastAsia" w:ascii="仿宋_GB2312" w:hAnsi="仿宋_GB2312" w:eastAsia="仿宋_GB2312" w:cs="仿宋_GB2312"/>
                <w:sz w:val="20"/>
                <w:szCs w:val="21"/>
                <w:lang w:val="en-US" w:eastAsia="zh-CN"/>
              </w:rPr>
              <w:t>、NOx排放浓度满足《锅炉大气污染物排放标准》(DB14/1929-2019)排放限值要求。</w:t>
            </w:r>
          </w:p>
          <w:p w14:paraId="05E5F959">
            <w:pPr>
              <w:keepNext w:val="0"/>
              <w:keepLines w:val="0"/>
              <w:pageBreakBefore w:val="0"/>
              <w:widowControl w:val="0"/>
              <w:numPr>
                <w:ilvl w:val="0"/>
                <w:numId w:val="0"/>
              </w:numPr>
              <w:kinsoku/>
              <w:wordWrap/>
              <w:overflowPunct/>
              <w:topLinePunct w:val="0"/>
              <w:bidi w:val="0"/>
              <w:spacing w:line="350" w:lineRule="exact"/>
              <w:ind w:firstLine="400" w:firstLineChars="200"/>
              <w:rPr>
                <w:rFonts w:hint="eastAsia" w:ascii="仿宋_GB2312" w:hAnsi="仿宋_GB2312" w:eastAsia="仿宋_GB2312" w:cs="仿宋_GB2312"/>
                <w:sz w:val="20"/>
                <w:szCs w:val="21"/>
                <w:lang w:val="en-US" w:eastAsia="zh-CN"/>
              </w:rPr>
            </w:pPr>
            <w:r>
              <w:rPr>
                <w:rFonts w:hint="eastAsia" w:ascii="仿宋_GB2312" w:hAnsi="仿宋_GB2312" w:eastAsia="仿宋_GB2312" w:cs="仿宋_GB2312"/>
                <w:sz w:val="20"/>
                <w:szCs w:val="21"/>
                <w:lang w:val="en-US" w:eastAsia="zh-CN"/>
              </w:rPr>
              <w:t>(2)本项目设一座30m</w:t>
            </w:r>
            <w:r>
              <w:rPr>
                <w:rFonts w:hint="eastAsia" w:ascii="仿宋_GB2312" w:hAnsi="仿宋_GB2312" w:eastAsia="仿宋_GB2312" w:cs="仿宋_GB2312"/>
                <w:sz w:val="20"/>
                <w:szCs w:val="21"/>
                <w:vertAlign w:val="superscript"/>
                <w:lang w:val="en-US" w:eastAsia="zh-CN"/>
              </w:rPr>
              <w:t>3</w:t>
            </w:r>
            <w:r>
              <w:rPr>
                <w:rFonts w:hint="eastAsia" w:ascii="仿宋_GB2312" w:hAnsi="仿宋_GB2312" w:eastAsia="仿宋_GB2312" w:cs="仿宋_GB2312"/>
                <w:sz w:val="20"/>
                <w:szCs w:val="21"/>
                <w:lang w:val="en-US" w:eastAsia="zh-CN"/>
              </w:rPr>
              <w:t>脱硫粉仓，脱硫粉仓查产生的颗粒物经仓顶除尘器处理后送至燃气锅炉烟气脉冲袋式除尘器前，与锅炉烟气一同经1根50m高排气筒排放。</w:t>
            </w:r>
          </w:p>
          <w:p w14:paraId="6037DCED">
            <w:pPr>
              <w:keepNext w:val="0"/>
              <w:keepLines w:val="0"/>
              <w:pageBreakBefore w:val="0"/>
              <w:widowControl w:val="0"/>
              <w:numPr>
                <w:ilvl w:val="0"/>
                <w:numId w:val="0"/>
              </w:numPr>
              <w:kinsoku/>
              <w:wordWrap/>
              <w:overflowPunct/>
              <w:topLinePunct w:val="0"/>
              <w:bidi w:val="0"/>
              <w:spacing w:line="350" w:lineRule="exact"/>
              <w:ind w:firstLine="400" w:firstLineChars="200"/>
              <w:rPr>
                <w:rFonts w:hint="eastAsia" w:ascii="仿宋_GB2312" w:hAnsi="仿宋_GB2312" w:eastAsia="仿宋_GB2312" w:cs="仿宋_GB2312"/>
                <w:sz w:val="20"/>
                <w:szCs w:val="21"/>
                <w:lang w:val="en-US" w:eastAsia="zh-CN"/>
              </w:rPr>
            </w:pPr>
            <w:r>
              <w:rPr>
                <w:rFonts w:hint="eastAsia" w:ascii="仿宋_GB2312" w:hAnsi="仿宋_GB2312" w:eastAsia="仿宋_GB2312" w:cs="仿宋_GB2312"/>
                <w:sz w:val="20"/>
                <w:szCs w:val="21"/>
                <w:lang w:val="en-US" w:eastAsia="zh-CN"/>
              </w:rPr>
              <w:t>二、废水污染源及防治措施</w:t>
            </w:r>
          </w:p>
          <w:p w14:paraId="347FD1E1">
            <w:pPr>
              <w:keepNext w:val="0"/>
              <w:keepLines w:val="0"/>
              <w:pageBreakBefore w:val="0"/>
              <w:widowControl w:val="0"/>
              <w:numPr>
                <w:ilvl w:val="0"/>
                <w:numId w:val="0"/>
              </w:numPr>
              <w:kinsoku/>
              <w:wordWrap/>
              <w:overflowPunct/>
              <w:topLinePunct w:val="0"/>
              <w:bidi w:val="0"/>
              <w:spacing w:line="350" w:lineRule="exact"/>
              <w:ind w:firstLine="400" w:firstLineChars="200"/>
              <w:rPr>
                <w:rFonts w:hint="eastAsia" w:ascii="仿宋_GB2312" w:hAnsi="仿宋_GB2312" w:eastAsia="仿宋_GB2312" w:cs="仿宋_GB2312"/>
                <w:sz w:val="20"/>
                <w:szCs w:val="21"/>
                <w:lang w:val="en-US" w:eastAsia="zh-CN"/>
              </w:rPr>
            </w:pPr>
            <w:r>
              <w:rPr>
                <w:rFonts w:hint="eastAsia" w:ascii="仿宋_GB2312" w:hAnsi="仿宋_GB2312" w:eastAsia="仿宋_GB2312" w:cs="仿宋_GB2312"/>
                <w:sz w:val="20"/>
                <w:szCs w:val="21"/>
                <w:lang w:val="en-US" w:eastAsia="zh-CN"/>
              </w:rPr>
              <w:t>(1)项目劳动定员60人。全部为金烨钢铁集团有限公司煤气发电站原有职工。本项目产生的生活污水依托金烨钢铁集团有限公司现有排水系统，进入城镇污水管网，最终进入壶关县第一污水处理厂。</w:t>
            </w:r>
          </w:p>
          <w:p w14:paraId="70E91073">
            <w:pPr>
              <w:keepNext w:val="0"/>
              <w:keepLines w:val="0"/>
              <w:pageBreakBefore w:val="0"/>
              <w:widowControl w:val="0"/>
              <w:numPr>
                <w:ilvl w:val="0"/>
                <w:numId w:val="0"/>
              </w:numPr>
              <w:kinsoku/>
              <w:wordWrap/>
              <w:overflowPunct/>
              <w:topLinePunct w:val="0"/>
              <w:bidi w:val="0"/>
              <w:spacing w:line="350" w:lineRule="exact"/>
              <w:ind w:firstLine="400" w:firstLineChars="200"/>
              <w:rPr>
                <w:rFonts w:hint="eastAsia" w:ascii="仿宋_GB2312" w:hAnsi="仿宋_GB2312" w:eastAsia="仿宋_GB2312" w:cs="仿宋_GB2312"/>
                <w:sz w:val="20"/>
                <w:szCs w:val="21"/>
                <w:lang w:val="en-US" w:eastAsia="zh-CN"/>
              </w:rPr>
            </w:pPr>
            <w:r>
              <w:rPr>
                <w:rFonts w:hint="eastAsia" w:ascii="仿宋_GB2312" w:hAnsi="仿宋_GB2312" w:eastAsia="仿宋_GB2312" w:cs="仿宋_GB2312"/>
                <w:sz w:val="20"/>
                <w:szCs w:val="21"/>
                <w:lang w:val="en-US" w:eastAsia="zh-CN"/>
              </w:rPr>
              <w:t>(2)本项目废水包括锅炉排污水、化学水车间排水、循环冷却排污水以及生活污水处理后废水，总废水量为6.1m</w:t>
            </w:r>
            <w:r>
              <w:rPr>
                <w:rFonts w:hint="eastAsia" w:ascii="仿宋_GB2312" w:hAnsi="仿宋_GB2312" w:eastAsia="仿宋_GB2312" w:cs="仿宋_GB2312"/>
                <w:sz w:val="20"/>
                <w:szCs w:val="21"/>
                <w:vertAlign w:val="superscript"/>
                <w:lang w:val="en-US" w:eastAsia="zh-CN"/>
              </w:rPr>
              <w:t>3</w:t>
            </w:r>
            <w:r>
              <w:rPr>
                <w:rFonts w:hint="eastAsia" w:ascii="仿宋_GB2312" w:hAnsi="仿宋_GB2312" w:eastAsia="仿宋_GB2312" w:cs="仿宋_GB2312"/>
                <w:sz w:val="20"/>
                <w:szCs w:val="21"/>
                <w:lang w:val="en-US" w:eastAsia="zh-CN"/>
              </w:rPr>
              <w:t>/h(采暖期)/7.5m</w:t>
            </w:r>
            <w:r>
              <w:rPr>
                <w:rFonts w:hint="eastAsia" w:ascii="仿宋_GB2312" w:hAnsi="仿宋_GB2312" w:eastAsia="仿宋_GB2312" w:cs="仿宋_GB2312"/>
                <w:sz w:val="20"/>
                <w:szCs w:val="21"/>
                <w:vertAlign w:val="superscript"/>
                <w:lang w:val="en-US" w:eastAsia="zh-CN"/>
              </w:rPr>
              <w:t>3</w:t>
            </w:r>
            <w:r>
              <w:rPr>
                <w:rFonts w:hint="eastAsia" w:ascii="仿宋_GB2312" w:hAnsi="仿宋_GB2312" w:eastAsia="仿宋_GB2312" w:cs="仿宋_GB2312"/>
                <w:sz w:val="20"/>
                <w:szCs w:val="21"/>
                <w:lang w:val="en-US" w:eastAsia="zh-CN"/>
              </w:rPr>
              <w:t>/h(非采暖期)，设置有200m</w:t>
            </w:r>
            <w:r>
              <w:rPr>
                <w:rFonts w:hint="eastAsia" w:ascii="仿宋_GB2312" w:hAnsi="仿宋_GB2312" w:eastAsia="仿宋_GB2312" w:cs="仿宋_GB2312"/>
                <w:sz w:val="20"/>
                <w:szCs w:val="21"/>
                <w:vertAlign w:val="superscript"/>
                <w:lang w:val="en-US" w:eastAsia="zh-CN"/>
              </w:rPr>
              <w:t>3</w:t>
            </w:r>
            <w:r>
              <w:rPr>
                <w:rFonts w:hint="eastAsia" w:ascii="仿宋_GB2312" w:hAnsi="仿宋_GB2312" w:eastAsia="仿宋_GB2312" w:cs="仿宋_GB2312"/>
                <w:sz w:val="20"/>
                <w:szCs w:val="21"/>
                <w:lang w:val="en-US" w:eastAsia="zh-CN"/>
              </w:rPr>
              <w:t>污水池，排入本次新建水处理站(处理规模为2X5t/h，水处理系统采用“多介质过滤器+活性炭过滤器+二级反渗透+EDI”工艺，配有2座60m</w:t>
            </w:r>
            <w:r>
              <w:rPr>
                <w:rFonts w:hint="eastAsia" w:ascii="仿宋_GB2312" w:hAnsi="仿宋_GB2312" w:eastAsia="仿宋_GB2312" w:cs="仿宋_GB2312"/>
                <w:sz w:val="20"/>
                <w:szCs w:val="21"/>
                <w:vertAlign w:val="superscript"/>
                <w:lang w:val="en-US" w:eastAsia="zh-CN"/>
              </w:rPr>
              <w:t>3</w:t>
            </w:r>
            <w:r>
              <w:rPr>
                <w:rFonts w:hint="eastAsia" w:ascii="仿宋_GB2312" w:hAnsi="仿宋_GB2312" w:eastAsia="仿宋_GB2312" w:cs="仿宋_GB2312"/>
                <w:sz w:val="20"/>
                <w:szCs w:val="21"/>
                <w:lang w:val="en-US" w:eastAsia="zh-CN"/>
              </w:rPr>
              <w:t>除盐水箱)废水经处理后全部回用于生产，不外排。金烨钢铁集团有限公司全厂无废水外排。</w:t>
            </w:r>
          </w:p>
          <w:p w14:paraId="1DDD05B7">
            <w:pPr>
              <w:keepNext w:val="0"/>
              <w:keepLines w:val="0"/>
              <w:pageBreakBefore w:val="0"/>
              <w:widowControl w:val="0"/>
              <w:numPr>
                <w:ilvl w:val="0"/>
                <w:numId w:val="0"/>
              </w:numPr>
              <w:kinsoku/>
              <w:wordWrap/>
              <w:overflowPunct/>
              <w:topLinePunct w:val="0"/>
              <w:bidi w:val="0"/>
              <w:spacing w:line="350" w:lineRule="exact"/>
              <w:ind w:firstLine="400" w:firstLineChars="200"/>
              <w:rPr>
                <w:rFonts w:hint="eastAsia" w:ascii="仿宋_GB2312" w:hAnsi="仿宋_GB2312" w:eastAsia="仿宋_GB2312" w:cs="仿宋_GB2312"/>
                <w:sz w:val="20"/>
                <w:szCs w:val="21"/>
                <w:lang w:val="en-US" w:eastAsia="zh-CN"/>
              </w:rPr>
            </w:pPr>
            <w:r>
              <w:rPr>
                <w:rFonts w:hint="eastAsia" w:ascii="仿宋_GB2312" w:hAnsi="仿宋_GB2312" w:eastAsia="仿宋_GB2312" w:cs="仿宋_GB2312"/>
                <w:sz w:val="20"/>
                <w:szCs w:val="21"/>
                <w:lang w:val="en-US" w:eastAsia="zh-CN"/>
              </w:rPr>
              <w:t>三、噪声污染源及防治措施</w:t>
            </w:r>
          </w:p>
          <w:p w14:paraId="11F66B44">
            <w:pPr>
              <w:keepNext w:val="0"/>
              <w:keepLines w:val="0"/>
              <w:pageBreakBefore w:val="0"/>
              <w:widowControl w:val="0"/>
              <w:numPr>
                <w:ilvl w:val="0"/>
                <w:numId w:val="0"/>
              </w:numPr>
              <w:kinsoku/>
              <w:wordWrap/>
              <w:overflowPunct/>
              <w:topLinePunct w:val="0"/>
              <w:bidi w:val="0"/>
              <w:spacing w:line="350" w:lineRule="exact"/>
              <w:ind w:firstLine="400" w:firstLineChars="200"/>
              <w:rPr>
                <w:rFonts w:hint="eastAsia" w:ascii="仿宋_GB2312" w:hAnsi="仿宋_GB2312" w:eastAsia="仿宋_GB2312" w:cs="仿宋_GB2312"/>
                <w:sz w:val="20"/>
                <w:szCs w:val="21"/>
                <w:lang w:val="en-US" w:eastAsia="zh-CN"/>
              </w:rPr>
            </w:pPr>
            <w:r>
              <w:rPr>
                <w:rFonts w:hint="eastAsia" w:ascii="仿宋_GB2312" w:hAnsi="仿宋_GB2312" w:eastAsia="仿宋_GB2312" w:cs="仿宋_GB2312"/>
                <w:sz w:val="20"/>
                <w:szCs w:val="21"/>
                <w:lang w:val="en-US" w:eastAsia="zh-CN"/>
              </w:rPr>
              <w:t>本项目运营期噪声源主要包括汽轮机、锅炉、发电机、送风机、引风机、冷却塔、除尘风机、水泵等，噪声值为85～100dB(A)。工程选用低噪声设备、基础减振、管道采取软管连接、风机采用消声措施等。由预测结果可知，正常工况下厂界昼、夜噪声可满足《工业企业厂界环境噪声排放标准》(GB12348-2008)中2类标准要求。</w:t>
            </w:r>
          </w:p>
          <w:p w14:paraId="31F0E2EE">
            <w:pPr>
              <w:keepNext w:val="0"/>
              <w:keepLines w:val="0"/>
              <w:pageBreakBefore w:val="0"/>
              <w:widowControl w:val="0"/>
              <w:numPr>
                <w:ilvl w:val="0"/>
                <w:numId w:val="0"/>
              </w:numPr>
              <w:kinsoku/>
              <w:wordWrap/>
              <w:overflowPunct/>
              <w:topLinePunct w:val="0"/>
              <w:bidi w:val="0"/>
              <w:spacing w:line="350" w:lineRule="exact"/>
              <w:ind w:firstLine="400" w:firstLineChars="200"/>
              <w:rPr>
                <w:rFonts w:hint="eastAsia" w:ascii="仿宋_GB2312" w:hAnsi="仿宋_GB2312" w:eastAsia="仿宋_GB2312" w:cs="仿宋_GB2312"/>
                <w:sz w:val="20"/>
                <w:szCs w:val="21"/>
                <w:lang w:val="en-US" w:eastAsia="zh-CN"/>
              </w:rPr>
            </w:pPr>
            <w:r>
              <w:rPr>
                <w:rFonts w:hint="eastAsia" w:ascii="仿宋_GB2312" w:hAnsi="仿宋_GB2312" w:eastAsia="仿宋_GB2312" w:cs="仿宋_GB2312"/>
                <w:sz w:val="20"/>
                <w:szCs w:val="21"/>
                <w:lang w:val="en-US" w:eastAsia="zh-CN"/>
              </w:rPr>
              <w:t>四、固体污染源及防治措施</w:t>
            </w:r>
          </w:p>
          <w:p w14:paraId="2559BB6B">
            <w:pPr>
              <w:keepNext w:val="0"/>
              <w:keepLines w:val="0"/>
              <w:pageBreakBefore w:val="0"/>
              <w:widowControl w:val="0"/>
              <w:numPr>
                <w:ilvl w:val="0"/>
                <w:numId w:val="0"/>
              </w:numPr>
              <w:kinsoku/>
              <w:wordWrap/>
              <w:overflowPunct/>
              <w:topLinePunct w:val="0"/>
              <w:bidi w:val="0"/>
              <w:spacing w:line="350" w:lineRule="exact"/>
              <w:ind w:firstLine="400" w:firstLineChars="200"/>
              <w:rPr>
                <w:rFonts w:hint="eastAsia" w:ascii="仿宋_GB2312" w:hAnsi="仿宋_GB2312" w:eastAsia="仿宋_GB2312" w:cs="仿宋_GB2312"/>
                <w:sz w:val="20"/>
                <w:szCs w:val="21"/>
                <w:lang w:val="en-US" w:eastAsia="zh-CN"/>
              </w:rPr>
            </w:pPr>
            <w:r>
              <w:rPr>
                <w:rFonts w:hint="eastAsia" w:ascii="仿宋_GB2312" w:hAnsi="仿宋_GB2312" w:eastAsia="仿宋_GB2312" w:cs="仿宋_GB2312"/>
                <w:sz w:val="20"/>
                <w:szCs w:val="21"/>
                <w:lang w:val="en-US" w:eastAsia="zh-CN"/>
              </w:rPr>
              <w:t>项目固体废物包括一般工业固体废物、危险废物和生活垃圾。一般工业固体废物包括除尘灰，项目配套一座容积30m</w:t>
            </w:r>
            <w:r>
              <w:rPr>
                <w:rFonts w:hint="eastAsia" w:ascii="仿宋_GB2312" w:hAnsi="仿宋_GB2312" w:eastAsia="仿宋_GB2312" w:cs="仿宋_GB2312"/>
                <w:sz w:val="20"/>
                <w:szCs w:val="21"/>
                <w:vertAlign w:val="superscript"/>
                <w:lang w:val="en-US" w:eastAsia="zh-CN"/>
              </w:rPr>
              <w:t>3</w:t>
            </w:r>
            <w:r>
              <w:rPr>
                <w:rFonts w:hint="eastAsia" w:ascii="仿宋_GB2312" w:hAnsi="仿宋_GB2312" w:eastAsia="仿宋_GB2312" w:cs="仿宋_GB2312"/>
                <w:sz w:val="20"/>
                <w:szCs w:val="21"/>
                <w:lang w:val="en-US" w:eastAsia="zh-CN"/>
              </w:rPr>
              <w:t>的除尘灰灰库，除尘灰主要来源于脱硫后产生的粉状颗粒，可作为建筑材料使用，收集后外售处理。</w:t>
            </w:r>
          </w:p>
          <w:p w14:paraId="79C42D38">
            <w:pPr>
              <w:keepNext w:val="0"/>
              <w:keepLines w:val="0"/>
              <w:pageBreakBefore w:val="0"/>
              <w:widowControl w:val="0"/>
              <w:numPr>
                <w:ilvl w:val="0"/>
                <w:numId w:val="0"/>
              </w:numPr>
              <w:kinsoku/>
              <w:wordWrap/>
              <w:overflowPunct/>
              <w:topLinePunct w:val="0"/>
              <w:bidi w:val="0"/>
              <w:spacing w:line="350" w:lineRule="exact"/>
              <w:ind w:firstLine="400" w:firstLineChars="200"/>
              <w:rPr>
                <w:rFonts w:hint="eastAsia" w:ascii="仿宋_GB2312" w:hAnsi="仿宋_GB2312" w:eastAsia="仿宋_GB2312" w:cs="仿宋_GB2312"/>
                <w:sz w:val="20"/>
                <w:szCs w:val="21"/>
                <w:lang w:val="en-US" w:eastAsia="zh-CN"/>
              </w:rPr>
            </w:pPr>
            <w:r>
              <w:rPr>
                <w:rFonts w:hint="eastAsia" w:ascii="仿宋_GB2312" w:hAnsi="仿宋_GB2312" w:eastAsia="仿宋_GB2312" w:cs="仿宋_GB2312"/>
                <w:sz w:val="20"/>
                <w:szCs w:val="21"/>
                <w:lang w:val="en-US" w:eastAsia="zh-CN"/>
              </w:rPr>
              <w:t>危险废物包括废矿物油、废油桶。公司利用现有1座35.2m</w:t>
            </w:r>
            <w:r>
              <w:rPr>
                <w:rFonts w:hint="eastAsia" w:ascii="仿宋_GB2312" w:hAnsi="仿宋_GB2312" w:eastAsia="仿宋_GB2312" w:cs="仿宋_GB2312"/>
                <w:sz w:val="20"/>
                <w:szCs w:val="21"/>
                <w:vertAlign w:val="superscript"/>
                <w:lang w:val="en-US" w:eastAsia="zh-CN"/>
              </w:rPr>
              <w:t>2</w:t>
            </w:r>
            <w:r>
              <w:rPr>
                <w:rFonts w:hint="eastAsia" w:ascii="仿宋_GB2312" w:hAnsi="仿宋_GB2312" w:eastAsia="仿宋_GB2312" w:cs="仿宋_GB2312"/>
                <w:sz w:val="20"/>
                <w:szCs w:val="21"/>
                <w:lang w:val="en-US" w:eastAsia="zh-CN"/>
              </w:rPr>
              <w:t>的危废贮存库，各危险废物按照《危险废物贮存污染控制标准》(GB18597-2023)的要求贮存和管理，定期交有资质单位统一进行处理。</w:t>
            </w:r>
          </w:p>
          <w:p w14:paraId="4BA69349">
            <w:pPr>
              <w:keepNext w:val="0"/>
              <w:keepLines w:val="0"/>
              <w:pageBreakBefore w:val="0"/>
              <w:widowControl w:val="0"/>
              <w:numPr>
                <w:ilvl w:val="0"/>
                <w:numId w:val="0"/>
              </w:numPr>
              <w:kinsoku/>
              <w:wordWrap/>
              <w:overflowPunct/>
              <w:topLinePunct w:val="0"/>
              <w:bidi w:val="0"/>
              <w:spacing w:line="350" w:lineRule="exact"/>
              <w:ind w:firstLine="400" w:firstLineChars="200"/>
              <w:rPr>
                <w:rFonts w:hint="eastAsia" w:ascii="仿宋_GB2312" w:hAnsi="仿宋_GB2312" w:eastAsia="仿宋_GB2312" w:cs="仿宋_GB2312"/>
                <w:sz w:val="20"/>
                <w:szCs w:val="21"/>
                <w:lang w:val="en-US" w:eastAsia="zh-CN"/>
              </w:rPr>
            </w:pPr>
            <w:r>
              <w:rPr>
                <w:rFonts w:hint="eastAsia" w:ascii="仿宋_GB2312" w:hAnsi="仿宋_GB2312" w:eastAsia="仿宋_GB2312" w:cs="仿宋_GB2312"/>
                <w:sz w:val="20"/>
                <w:szCs w:val="21"/>
                <w:lang w:val="en-US" w:eastAsia="zh-CN"/>
              </w:rPr>
              <w:t>生活垃圾集中收集后由当地环卫部门统一处理。</w:t>
            </w:r>
          </w:p>
          <w:p w14:paraId="407F1E7F">
            <w:pPr>
              <w:keepNext w:val="0"/>
              <w:keepLines w:val="0"/>
              <w:pageBreakBefore w:val="0"/>
              <w:widowControl w:val="0"/>
              <w:numPr>
                <w:ilvl w:val="0"/>
                <w:numId w:val="1"/>
              </w:numPr>
              <w:kinsoku/>
              <w:wordWrap/>
              <w:overflowPunct/>
              <w:topLinePunct w:val="0"/>
              <w:bidi w:val="0"/>
              <w:spacing w:line="350" w:lineRule="exact"/>
              <w:ind w:firstLine="400" w:firstLineChars="200"/>
              <w:rPr>
                <w:rFonts w:hint="eastAsia" w:ascii="仿宋_GB2312" w:hAnsi="仿宋_GB2312" w:eastAsia="仿宋_GB2312" w:cs="仿宋_GB2312"/>
                <w:sz w:val="20"/>
                <w:szCs w:val="21"/>
                <w:lang w:val="en-US" w:eastAsia="zh-CN"/>
              </w:rPr>
            </w:pPr>
            <w:r>
              <w:rPr>
                <w:rFonts w:hint="eastAsia" w:ascii="仿宋_GB2312" w:hAnsi="仿宋_GB2312" w:eastAsia="仿宋_GB2312" w:cs="仿宋_GB2312"/>
                <w:sz w:val="20"/>
                <w:szCs w:val="21"/>
                <w:lang w:val="en-US" w:eastAsia="zh-CN"/>
              </w:rPr>
              <w:t>地下水、土壤防治措施</w:t>
            </w:r>
          </w:p>
          <w:p w14:paraId="184E09F7">
            <w:pPr>
              <w:keepNext w:val="0"/>
              <w:keepLines w:val="0"/>
              <w:pageBreakBefore w:val="0"/>
              <w:widowControl w:val="0"/>
              <w:numPr>
                <w:ilvl w:val="0"/>
                <w:numId w:val="0"/>
              </w:numPr>
              <w:kinsoku/>
              <w:wordWrap/>
              <w:overflowPunct/>
              <w:topLinePunct w:val="0"/>
              <w:bidi w:val="0"/>
              <w:spacing w:line="350" w:lineRule="exact"/>
              <w:rPr>
                <w:rFonts w:hint="eastAsia" w:ascii="仿宋_GB2312" w:hAnsi="仿宋_GB2312" w:eastAsia="仿宋_GB2312" w:cs="仿宋_GB2312"/>
                <w:sz w:val="20"/>
                <w:szCs w:val="21"/>
                <w:lang w:val="en-US" w:eastAsia="zh-CN"/>
              </w:rPr>
            </w:pPr>
            <w:r>
              <w:rPr>
                <w:rFonts w:hint="eastAsia" w:ascii="仿宋_GB2312" w:hAnsi="仿宋_GB2312" w:eastAsia="仿宋_GB2312" w:cs="仿宋_GB2312"/>
                <w:sz w:val="20"/>
                <w:szCs w:val="21"/>
                <w:lang w:val="en-US" w:eastAsia="zh-CN"/>
              </w:rPr>
              <w:t xml:space="preserve">   重点防渗区采用防渗层为至少1m厚黏土层（渗透系数不大于10</w:t>
            </w:r>
            <w:r>
              <w:rPr>
                <w:rFonts w:hint="eastAsia" w:ascii="仿宋_GB2312" w:hAnsi="仿宋_GB2312" w:eastAsia="仿宋_GB2312" w:cs="仿宋_GB2312"/>
                <w:sz w:val="20"/>
                <w:szCs w:val="21"/>
                <w:vertAlign w:val="superscript"/>
                <w:lang w:val="en-US" w:eastAsia="zh-CN"/>
              </w:rPr>
              <w:t>-7</w:t>
            </w:r>
            <w:r>
              <w:rPr>
                <w:rFonts w:hint="eastAsia" w:ascii="仿宋_GB2312" w:hAnsi="仿宋_GB2312" w:eastAsia="仿宋_GB2312" w:cs="仿宋_GB2312"/>
                <w:sz w:val="20"/>
                <w:szCs w:val="21"/>
                <w:lang w:val="en-US" w:eastAsia="zh-CN"/>
              </w:rPr>
              <w:t>cm/s)，或至少2mm厚高密度聚乙烯膜等人工防渗材料(渗透系数不大于10</w:t>
            </w:r>
            <w:r>
              <w:rPr>
                <w:rFonts w:hint="eastAsia" w:ascii="仿宋_GB2312" w:hAnsi="仿宋_GB2312" w:eastAsia="仿宋_GB2312" w:cs="仿宋_GB2312"/>
                <w:sz w:val="20"/>
                <w:szCs w:val="21"/>
                <w:vertAlign w:val="superscript"/>
                <w:lang w:val="en-US" w:eastAsia="zh-CN"/>
              </w:rPr>
              <w:t>-10</w:t>
            </w:r>
            <w:r>
              <w:rPr>
                <w:rFonts w:hint="eastAsia" w:ascii="仿宋_GB2312" w:hAnsi="仿宋_GB2312" w:eastAsia="仿宋_GB2312" w:cs="仿宋_GB2312"/>
                <w:sz w:val="20"/>
                <w:szCs w:val="21"/>
                <w:lang w:val="en-US" w:eastAsia="zh-CN"/>
              </w:rPr>
              <w:t>cm/s)）。</w:t>
            </w:r>
          </w:p>
          <w:p w14:paraId="6DD3D720">
            <w:pPr>
              <w:keepNext w:val="0"/>
              <w:keepLines w:val="0"/>
              <w:pageBreakBefore w:val="0"/>
              <w:widowControl w:val="0"/>
              <w:numPr>
                <w:ilvl w:val="0"/>
                <w:numId w:val="0"/>
              </w:numPr>
              <w:kinsoku/>
              <w:wordWrap/>
              <w:overflowPunct/>
              <w:topLinePunct w:val="0"/>
              <w:bidi w:val="0"/>
              <w:spacing w:line="350" w:lineRule="exact"/>
              <w:rPr>
                <w:rFonts w:hint="eastAsia" w:ascii="仿宋_GB2312" w:hAnsi="仿宋_GB2312" w:eastAsia="仿宋_GB2312" w:cs="仿宋_GB2312"/>
                <w:sz w:val="20"/>
                <w:szCs w:val="21"/>
                <w:lang w:val="en-US" w:eastAsia="zh-CN"/>
              </w:rPr>
            </w:pPr>
            <w:r>
              <w:rPr>
                <w:rFonts w:hint="eastAsia" w:ascii="仿宋_GB2312" w:hAnsi="仿宋_GB2312" w:eastAsia="仿宋_GB2312" w:cs="仿宋_GB2312"/>
                <w:sz w:val="20"/>
                <w:szCs w:val="21"/>
                <w:lang w:val="en-US" w:eastAsia="zh-CN"/>
              </w:rPr>
              <w:t xml:space="preserve">   一般防渗区采用等效粘土防渗层Mb≥1.5m，K≤1X10</w:t>
            </w:r>
            <w:r>
              <w:rPr>
                <w:rFonts w:hint="eastAsia" w:ascii="仿宋_GB2312" w:hAnsi="仿宋_GB2312" w:eastAsia="仿宋_GB2312" w:cs="仿宋_GB2312"/>
                <w:sz w:val="20"/>
                <w:szCs w:val="21"/>
                <w:vertAlign w:val="superscript"/>
                <w:lang w:val="en-US" w:eastAsia="zh-CN"/>
              </w:rPr>
              <w:t>-7</w:t>
            </w:r>
            <w:r>
              <w:rPr>
                <w:rFonts w:hint="eastAsia" w:ascii="仿宋_GB2312" w:hAnsi="仿宋_GB2312" w:eastAsia="仿宋_GB2312" w:cs="仿宋_GB2312"/>
                <w:sz w:val="20"/>
                <w:szCs w:val="21"/>
                <w:lang w:val="en-US" w:eastAsia="zh-CN"/>
              </w:rPr>
              <w:t>cm/s。</w:t>
            </w:r>
          </w:p>
          <w:p w14:paraId="136F313B">
            <w:pPr>
              <w:keepNext w:val="0"/>
              <w:keepLines w:val="0"/>
              <w:pageBreakBefore w:val="0"/>
              <w:widowControl w:val="0"/>
              <w:numPr>
                <w:ilvl w:val="0"/>
                <w:numId w:val="0"/>
              </w:numPr>
              <w:kinsoku/>
              <w:wordWrap/>
              <w:overflowPunct/>
              <w:topLinePunct w:val="0"/>
              <w:bidi w:val="0"/>
              <w:spacing w:line="350" w:lineRule="exact"/>
              <w:rPr>
                <w:rFonts w:hint="eastAsia" w:ascii="仿宋_GB2312" w:hAnsi="仿宋_GB2312" w:eastAsia="仿宋_GB2312" w:cs="仿宋_GB2312"/>
                <w:sz w:val="20"/>
                <w:szCs w:val="21"/>
                <w:lang w:val="en-US" w:eastAsia="zh-CN"/>
              </w:rPr>
            </w:pPr>
            <w:r>
              <w:rPr>
                <w:rFonts w:hint="eastAsia" w:ascii="仿宋_GB2312" w:hAnsi="仿宋_GB2312" w:eastAsia="仿宋_GB2312" w:cs="仿宋_GB2312"/>
                <w:sz w:val="20"/>
                <w:szCs w:val="21"/>
                <w:lang w:val="en-US" w:eastAsia="zh-CN"/>
              </w:rPr>
              <w:t xml:space="preserve">   简单防渗区采用一般地面硬化。</w:t>
            </w:r>
          </w:p>
          <w:p w14:paraId="2CBF38B8">
            <w:pPr>
              <w:keepNext w:val="0"/>
              <w:keepLines w:val="0"/>
              <w:pageBreakBefore w:val="0"/>
              <w:widowControl w:val="0"/>
              <w:numPr>
                <w:ilvl w:val="0"/>
                <w:numId w:val="0"/>
              </w:numPr>
              <w:kinsoku/>
              <w:wordWrap/>
              <w:overflowPunct/>
              <w:topLinePunct w:val="0"/>
              <w:bidi w:val="0"/>
              <w:spacing w:line="350" w:lineRule="exact"/>
              <w:rPr>
                <w:rFonts w:hint="eastAsia" w:ascii="仿宋_GB2312" w:hAnsi="仿宋_GB2312" w:eastAsia="仿宋_GB2312" w:cs="仿宋_GB2312"/>
                <w:sz w:val="20"/>
                <w:szCs w:val="21"/>
                <w:lang w:val="en-US" w:eastAsia="zh-CN"/>
              </w:rPr>
            </w:pPr>
          </w:p>
          <w:p w14:paraId="3324A83D">
            <w:pPr>
              <w:keepNext w:val="0"/>
              <w:keepLines w:val="0"/>
              <w:pageBreakBefore w:val="0"/>
              <w:widowControl w:val="0"/>
              <w:numPr>
                <w:ilvl w:val="0"/>
                <w:numId w:val="0"/>
              </w:numPr>
              <w:kinsoku/>
              <w:wordWrap/>
              <w:overflowPunct/>
              <w:topLinePunct w:val="0"/>
              <w:bidi w:val="0"/>
              <w:spacing w:line="350" w:lineRule="exact"/>
              <w:rPr>
                <w:rFonts w:hint="default" w:ascii="仿宋_GB2312" w:hAnsi="仿宋_GB2312" w:eastAsia="仿宋_GB2312" w:cs="仿宋_GB2312"/>
                <w:sz w:val="20"/>
                <w:szCs w:val="21"/>
                <w:lang w:val="en-US" w:eastAsia="zh-CN"/>
              </w:rPr>
            </w:pPr>
          </w:p>
        </w:tc>
      </w:tr>
    </w:tbl>
    <w:p w14:paraId="61945C84">
      <w:pPr>
        <w:keepNext w:val="0"/>
        <w:keepLines w:val="0"/>
        <w:pageBreakBefore w:val="0"/>
        <w:widowControl w:val="0"/>
        <w:kinsoku/>
        <w:wordWrap/>
        <w:overflowPunct/>
        <w:topLinePunct w:val="0"/>
        <w:bidi w:val="0"/>
        <w:spacing w:line="350" w:lineRule="exact"/>
        <w:rPr>
          <w:rFonts w:hint="eastAsia"/>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DF12D4"/>
    <w:multiLevelType w:val="singleLevel"/>
    <w:tmpl w:val="91DF12D4"/>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B50"/>
    <w:rsid w:val="001975EF"/>
    <w:rsid w:val="002F6437"/>
    <w:rsid w:val="00474656"/>
    <w:rsid w:val="00492211"/>
    <w:rsid w:val="004A055C"/>
    <w:rsid w:val="007C4964"/>
    <w:rsid w:val="00867634"/>
    <w:rsid w:val="008B20A2"/>
    <w:rsid w:val="008B257D"/>
    <w:rsid w:val="009A47FD"/>
    <w:rsid w:val="009C700E"/>
    <w:rsid w:val="00A27756"/>
    <w:rsid w:val="00A97222"/>
    <w:rsid w:val="00AE1B50"/>
    <w:rsid w:val="00CB7AC6"/>
    <w:rsid w:val="00D64FB2"/>
    <w:rsid w:val="00E05C69"/>
    <w:rsid w:val="00E4386B"/>
    <w:rsid w:val="00F142BF"/>
    <w:rsid w:val="00F44C2D"/>
    <w:rsid w:val="00FA280D"/>
    <w:rsid w:val="03B56367"/>
    <w:rsid w:val="0EBC4821"/>
    <w:rsid w:val="136D3099"/>
    <w:rsid w:val="307308C7"/>
    <w:rsid w:val="32554564"/>
    <w:rsid w:val="38707651"/>
    <w:rsid w:val="41C77C3D"/>
    <w:rsid w:val="4FC7003C"/>
    <w:rsid w:val="51C32D2F"/>
    <w:rsid w:val="5D4E371F"/>
    <w:rsid w:val="676B283C"/>
    <w:rsid w:val="6EC85C2A"/>
    <w:rsid w:val="7B561C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7">
    <w:name w:val="Default Paragraph Font"/>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link w:val="11"/>
    <w:qFormat/>
    <w:uiPriority w:val="0"/>
    <w:pPr>
      <w:spacing w:after="120" w:line="480" w:lineRule="auto"/>
      <w:ind w:left="420" w:leftChars="200"/>
    </w:pPr>
    <w:rPr>
      <w:rFonts w:ascii="Times New Roman" w:hAnsi="Times New Roman" w:eastAsia="宋体" w:cs="Times New Roman"/>
      <w:szCs w:val="24"/>
      <w14:ligatures w14:val="none"/>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正文文本缩进 2 字符"/>
    <w:basedOn w:val="7"/>
    <w:link w:val="2"/>
    <w:qFormat/>
    <w:uiPriority w:val="0"/>
    <w:rPr>
      <w:rFonts w:ascii="Times New Roman" w:hAnsi="Times New Roman" w:eastAsia="宋体" w:cs="Times New Roman"/>
      <w:szCs w:val="24"/>
      <w14:ligatures w14: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1195</Words>
  <Characters>1386</Characters>
  <Lines>6</Lines>
  <Paragraphs>1</Paragraphs>
  <TotalTime>0</TotalTime>
  <ScaleCrop>false</ScaleCrop>
  <LinksUpToDate>false</LinksUpToDate>
  <CharactersWithSpaces>1395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2026-06-02T03:36:00Z</dcterms:created>
  <dc:creator>Windows 用户</dc:creator>
  <cp:lastModifiedBy>角逐</cp:lastModifiedBy>
  <cp:lastPrinted>2026-09-16T01:25:00Z</cp:lastPrinted>
  <dcterms:modified xsi:type="dcterms:W3CDTF">2026-10-14T01:54:30Z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eyJoZGlkIjoiZTY2MTcxN2VjNmZhMmM4NjQ0NzU3OWRlNTc1NmI5NjQiLCJ1c2VySWQiOiIzMDExNTcwMjkifQ==</vt:lpwstr>
  </property>
  <property fmtid="{D5CDD505-2E9C-101B-9397-08002B2CF9AE}" pid="3" name="KSOProductBuildVer">
    <vt:lpwstr>2052-12.1.0.28505</vt:lpwstr>
  </property>
  <property fmtid="{D5CDD505-2E9C-101B-9397-08002B2CF9AE}" pid="4" name="ICV">
    <vt:lpwstr>9296F10EF2974BCC969CFBE34C76ED4E_13</vt:lpwstr>
  </property>
</Properties>
</file>